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5BEF873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AA0321">
                                <w:rPr>
                                  <w:rFonts w:cstheme="minorHAnsi"/>
                                  <w:b/>
                                  <w:sz w:val="32"/>
                                  <w:szCs w:val="32"/>
                                </w:rPr>
                                <w:t>7</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5BEF873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AA0321">
                          <w:rPr>
                            <w:rFonts w:cstheme="minorHAnsi"/>
                            <w:b/>
                            <w:sz w:val="32"/>
                            <w:szCs w:val="32"/>
                          </w:rPr>
                          <w:t>7</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114C9" w:rsidRPr="00D114C9" w14:paraId="6B0EB694" w14:textId="77777777" w:rsidTr="006430B1">
                              <w:tc>
                                <w:tcPr>
                                  <w:tcW w:w="3572" w:type="dxa"/>
                                </w:tcPr>
                                <w:p w14:paraId="520BEBF6" w14:textId="48B78DD4"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isle </w:t>
                                  </w:r>
                                </w:p>
                              </w:tc>
                              <w:tc>
                                <w:tcPr>
                                  <w:tcW w:w="3572" w:type="dxa"/>
                                </w:tcPr>
                                <w:p w14:paraId="2E681C34" w14:textId="08064AB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effect </w:t>
                                  </w:r>
                                </w:p>
                              </w:tc>
                            </w:tr>
                            <w:tr w:rsidR="00D114C9" w:rsidRPr="00D114C9" w14:paraId="4FA3F05B" w14:textId="77777777" w:rsidTr="006430B1">
                              <w:tc>
                                <w:tcPr>
                                  <w:tcW w:w="3572" w:type="dxa"/>
                                </w:tcPr>
                                <w:p w14:paraId="2E7F34BE" w14:textId="68611A7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aisle </w:t>
                                  </w:r>
                                </w:p>
                              </w:tc>
                              <w:tc>
                                <w:tcPr>
                                  <w:tcW w:w="3572" w:type="dxa"/>
                                </w:tcPr>
                                <w:p w14:paraId="611722EE" w14:textId="2489920B"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herd </w:t>
                                  </w:r>
                                </w:p>
                              </w:tc>
                            </w:tr>
                            <w:tr w:rsidR="00D114C9" w:rsidRPr="00D114C9" w14:paraId="5A5B3BF8" w14:textId="77777777" w:rsidTr="006430B1">
                              <w:tc>
                                <w:tcPr>
                                  <w:tcW w:w="3572" w:type="dxa"/>
                                </w:tcPr>
                                <w:p w14:paraId="5F48C27A" w14:textId="23E2A0C2"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aloud </w:t>
                                  </w:r>
                                </w:p>
                              </w:tc>
                              <w:tc>
                                <w:tcPr>
                                  <w:tcW w:w="3572" w:type="dxa"/>
                                </w:tcPr>
                                <w:p w14:paraId="05599FFC" w14:textId="43D6B6E6" w:rsidR="00D114C9" w:rsidRPr="00D114C9" w:rsidRDefault="00D114C9" w:rsidP="00D114C9">
                                  <w:pPr>
                                    <w:pStyle w:val="NoSpacing"/>
                                    <w:rPr>
                                      <w:rFonts w:cstheme="minorHAnsi"/>
                                      <w:b/>
                                      <w:sz w:val="32"/>
                                      <w:szCs w:val="32"/>
                                    </w:rPr>
                                  </w:pPr>
                                  <w:r w:rsidRPr="00D114C9">
                                    <w:rPr>
                                      <w:rFonts w:ascii="Calibri" w:eastAsia="Times New Roman" w:hAnsi="Calibri" w:cs="Calibri"/>
                                      <w:sz w:val="32"/>
                                      <w:szCs w:val="32"/>
                                      <w:lang w:eastAsia="en-GB"/>
                                    </w:rPr>
                                    <w:t>heard </w:t>
                                  </w:r>
                                </w:p>
                              </w:tc>
                            </w:tr>
                            <w:tr w:rsidR="00D114C9" w:rsidRPr="00D114C9" w14:paraId="4FFC3310" w14:textId="77777777" w:rsidTr="006430B1">
                              <w:tc>
                                <w:tcPr>
                                  <w:tcW w:w="3572" w:type="dxa"/>
                                </w:tcPr>
                                <w:p w14:paraId="7918867C" w14:textId="0F4312E9"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allowed </w:t>
                                  </w:r>
                                </w:p>
                              </w:tc>
                              <w:tc>
                                <w:tcPr>
                                  <w:tcW w:w="3572" w:type="dxa"/>
                                </w:tcPr>
                                <w:p w14:paraId="3CEC4ABE" w14:textId="13620613"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past </w:t>
                                  </w:r>
                                </w:p>
                              </w:tc>
                            </w:tr>
                            <w:tr w:rsidR="00D114C9" w:rsidRPr="00D114C9" w14:paraId="0E66670E" w14:textId="77777777" w:rsidTr="006430B1">
                              <w:tc>
                                <w:tcPr>
                                  <w:tcW w:w="3572" w:type="dxa"/>
                                </w:tcPr>
                                <w:p w14:paraId="193FD710" w14:textId="7D995E57"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affect </w:t>
                                  </w:r>
                                </w:p>
                              </w:tc>
                              <w:tc>
                                <w:tcPr>
                                  <w:tcW w:w="3572" w:type="dxa"/>
                                </w:tcPr>
                                <w:p w14:paraId="412A4A05" w14:textId="4E6F729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passed </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114C9" w:rsidRPr="00D114C9" w14:paraId="6B0EB694" w14:textId="77777777" w:rsidTr="006430B1">
                        <w:tc>
                          <w:tcPr>
                            <w:tcW w:w="3572" w:type="dxa"/>
                          </w:tcPr>
                          <w:p w14:paraId="520BEBF6" w14:textId="48B78DD4"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isle </w:t>
                            </w:r>
                          </w:p>
                        </w:tc>
                        <w:tc>
                          <w:tcPr>
                            <w:tcW w:w="3572" w:type="dxa"/>
                          </w:tcPr>
                          <w:p w14:paraId="2E681C34" w14:textId="08064AB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effect </w:t>
                            </w:r>
                          </w:p>
                        </w:tc>
                      </w:tr>
                      <w:tr w:rsidR="00D114C9" w:rsidRPr="00D114C9" w14:paraId="4FA3F05B" w14:textId="77777777" w:rsidTr="006430B1">
                        <w:tc>
                          <w:tcPr>
                            <w:tcW w:w="3572" w:type="dxa"/>
                          </w:tcPr>
                          <w:p w14:paraId="2E7F34BE" w14:textId="68611A7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aisle </w:t>
                            </w:r>
                          </w:p>
                        </w:tc>
                        <w:tc>
                          <w:tcPr>
                            <w:tcW w:w="3572" w:type="dxa"/>
                          </w:tcPr>
                          <w:p w14:paraId="611722EE" w14:textId="2489920B"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herd </w:t>
                            </w:r>
                          </w:p>
                        </w:tc>
                      </w:tr>
                      <w:tr w:rsidR="00D114C9" w:rsidRPr="00D114C9" w14:paraId="5A5B3BF8" w14:textId="77777777" w:rsidTr="006430B1">
                        <w:tc>
                          <w:tcPr>
                            <w:tcW w:w="3572" w:type="dxa"/>
                          </w:tcPr>
                          <w:p w14:paraId="5F48C27A" w14:textId="23E2A0C2"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aloud </w:t>
                            </w:r>
                          </w:p>
                        </w:tc>
                        <w:tc>
                          <w:tcPr>
                            <w:tcW w:w="3572" w:type="dxa"/>
                          </w:tcPr>
                          <w:p w14:paraId="05599FFC" w14:textId="43D6B6E6" w:rsidR="00D114C9" w:rsidRPr="00D114C9" w:rsidRDefault="00D114C9" w:rsidP="00D114C9">
                            <w:pPr>
                              <w:pStyle w:val="NoSpacing"/>
                              <w:rPr>
                                <w:rFonts w:cstheme="minorHAnsi"/>
                                <w:b/>
                                <w:sz w:val="32"/>
                                <w:szCs w:val="32"/>
                              </w:rPr>
                            </w:pPr>
                            <w:r w:rsidRPr="00D114C9">
                              <w:rPr>
                                <w:rFonts w:ascii="Calibri" w:eastAsia="Times New Roman" w:hAnsi="Calibri" w:cs="Calibri"/>
                                <w:sz w:val="32"/>
                                <w:szCs w:val="32"/>
                                <w:lang w:eastAsia="en-GB"/>
                              </w:rPr>
                              <w:t>heard </w:t>
                            </w:r>
                          </w:p>
                        </w:tc>
                      </w:tr>
                      <w:tr w:rsidR="00D114C9" w:rsidRPr="00D114C9" w14:paraId="4FFC3310" w14:textId="77777777" w:rsidTr="006430B1">
                        <w:tc>
                          <w:tcPr>
                            <w:tcW w:w="3572" w:type="dxa"/>
                          </w:tcPr>
                          <w:p w14:paraId="7918867C" w14:textId="0F4312E9"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allowed </w:t>
                            </w:r>
                          </w:p>
                        </w:tc>
                        <w:tc>
                          <w:tcPr>
                            <w:tcW w:w="3572" w:type="dxa"/>
                          </w:tcPr>
                          <w:p w14:paraId="3CEC4ABE" w14:textId="13620613"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past </w:t>
                            </w:r>
                          </w:p>
                        </w:tc>
                      </w:tr>
                      <w:tr w:rsidR="00D114C9" w:rsidRPr="00D114C9" w14:paraId="0E66670E" w14:textId="77777777" w:rsidTr="006430B1">
                        <w:tc>
                          <w:tcPr>
                            <w:tcW w:w="3572" w:type="dxa"/>
                          </w:tcPr>
                          <w:p w14:paraId="193FD710" w14:textId="7D995E57"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affect </w:t>
                            </w:r>
                          </w:p>
                        </w:tc>
                        <w:tc>
                          <w:tcPr>
                            <w:tcW w:w="3572" w:type="dxa"/>
                          </w:tcPr>
                          <w:p w14:paraId="412A4A05" w14:textId="4E6F729A" w:rsidR="00D114C9" w:rsidRPr="00D114C9" w:rsidRDefault="00D114C9" w:rsidP="00D114C9">
                            <w:pPr>
                              <w:pStyle w:val="NoSpacing"/>
                              <w:rPr>
                                <w:rFonts w:cstheme="minorHAnsi"/>
                                <w:bCs/>
                                <w:sz w:val="32"/>
                                <w:szCs w:val="32"/>
                              </w:rPr>
                            </w:pPr>
                            <w:r w:rsidRPr="00D114C9">
                              <w:rPr>
                                <w:rFonts w:ascii="Calibri" w:eastAsia="Times New Roman" w:hAnsi="Calibri" w:cs="Calibri"/>
                                <w:sz w:val="32"/>
                                <w:szCs w:val="32"/>
                                <w:lang w:eastAsia="en-GB"/>
                              </w:rPr>
                              <w:t>passed </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I2yL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fFA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uPeJ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5i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kQ3wgnuygeSRdEY7TSr+LjB7wB2cjTWrN/fe9QMWZeW+pN9fFIioZkrMo38zJwcvI7jIirCSo&#10;mgfOjuYmHL/D3qHuenqpSGpYuKV+tjpp/czqRJ+mMbXg9HPiuF/6Kev5f69/Ag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JxbrmI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76B90E56" w14:textId="674F8E1D" w:rsidR="00CB4EC9" w:rsidRDefault="007D7912" w:rsidP="00234F88">
                            <w:pPr>
                              <w:rPr>
                                <w:b/>
                                <w:bCs/>
                                <w:sz w:val="24"/>
                                <w:szCs w:val="24"/>
                              </w:rPr>
                            </w:pPr>
                            <w:r w:rsidRPr="00CC10A1">
                              <w:rPr>
                                <w:b/>
                                <w:bCs/>
                                <w:sz w:val="24"/>
                                <w:szCs w:val="24"/>
                              </w:rPr>
                              <w:t xml:space="preserve">Week </w:t>
                            </w:r>
                            <w:r w:rsidR="00D114C9">
                              <w:rPr>
                                <w:b/>
                                <w:bCs/>
                                <w:sz w:val="24"/>
                                <w:szCs w:val="24"/>
                              </w:rPr>
                              <w:t>7:</w:t>
                            </w:r>
                          </w:p>
                          <w:p w14:paraId="0A67EEF4" w14:textId="1AD9495B" w:rsidR="00D114C9" w:rsidRPr="00D114C9" w:rsidRDefault="00D114C9" w:rsidP="00234F88">
                            <w:pPr>
                              <w:rPr>
                                <w:sz w:val="24"/>
                                <w:szCs w:val="24"/>
                              </w:rPr>
                            </w:pPr>
                            <w:r>
                              <w:rPr>
                                <w:sz w:val="24"/>
                                <w:szCs w:val="24"/>
                              </w:rPr>
                              <w:t xml:space="preserve">Our next topic is all about The Lion, </w:t>
                            </w:r>
                            <w:proofErr w:type="gramStart"/>
                            <w:r>
                              <w:rPr>
                                <w:sz w:val="24"/>
                                <w:szCs w:val="24"/>
                              </w:rPr>
                              <w:t>Witch</w:t>
                            </w:r>
                            <w:proofErr w:type="gramEnd"/>
                            <w:r>
                              <w:rPr>
                                <w:sz w:val="24"/>
                                <w:szCs w:val="24"/>
                              </w:rPr>
                              <w:t xml:space="preserve"> and the Wardrobe. </w:t>
                            </w:r>
                            <w:r w:rsidR="00CE054F">
                              <w:rPr>
                                <w:sz w:val="24"/>
                                <w:szCs w:val="24"/>
                              </w:rPr>
                              <w:t xml:space="preserve">Research and </w:t>
                            </w:r>
                            <w:r w:rsidR="007F7518">
                              <w:rPr>
                                <w:sz w:val="24"/>
                                <w:szCs w:val="24"/>
                              </w:rPr>
                              <w:t xml:space="preserve">write down as many words that describes winter as you can! Draw a picture that shows what winter would be like in a magical </w:t>
                            </w:r>
                            <w:r w:rsidR="007F7518">
                              <w:rPr>
                                <w:sz w:val="24"/>
                                <w:szCs w:val="24"/>
                              </w:rPr>
                              <w:t>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76B90E56" w14:textId="674F8E1D" w:rsidR="00CB4EC9" w:rsidRDefault="007D7912" w:rsidP="00234F88">
                      <w:pPr>
                        <w:rPr>
                          <w:b/>
                          <w:bCs/>
                          <w:sz w:val="24"/>
                          <w:szCs w:val="24"/>
                        </w:rPr>
                      </w:pPr>
                      <w:r w:rsidRPr="00CC10A1">
                        <w:rPr>
                          <w:b/>
                          <w:bCs/>
                          <w:sz w:val="24"/>
                          <w:szCs w:val="24"/>
                        </w:rPr>
                        <w:t xml:space="preserve">Week </w:t>
                      </w:r>
                      <w:r w:rsidR="00D114C9">
                        <w:rPr>
                          <w:b/>
                          <w:bCs/>
                          <w:sz w:val="24"/>
                          <w:szCs w:val="24"/>
                        </w:rPr>
                        <w:t>7:</w:t>
                      </w:r>
                    </w:p>
                    <w:p w14:paraId="0A67EEF4" w14:textId="1AD9495B" w:rsidR="00D114C9" w:rsidRPr="00D114C9" w:rsidRDefault="00D114C9" w:rsidP="00234F88">
                      <w:pPr>
                        <w:rPr>
                          <w:sz w:val="24"/>
                          <w:szCs w:val="24"/>
                        </w:rPr>
                      </w:pPr>
                      <w:r>
                        <w:rPr>
                          <w:sz w:val="24"/>
                          <w:szCs w:val="24"/>
                        </w:rPr>
                        <w:t xml:space="preserve">Our next topic is all about The Lion, </w:t>
                      </w:r>
                      <w:proofErr w:type="gramStart"/>
                      <w:r>
                        <w:rPr>
                          <w:sz w:val="24"/>
                          <w:szCs w:val="24"/>
                        </w:rPr>
                        <w:t>Witch</w:t>
                      </w:r>
                      <w:proofErr w:type="gramEnd"/>
                      <w:r>
                        <w:rPr>
                          <w:sz w:val="24"/>
                          <w:szCs w:val="24"/>
                        </w:rPr>
                        <w:t xml:space="preserve"> and the Wardrobe. </w:t>
                      </w:r>
                      <w:r w:rsidR="00CE054F">
                        <w:rPr>
                          <w:sz w:val="24"/>
                          <w:szCs w:val="24"/>
                        </w:rPr>
                        <w:t xml:space="preserve">Research and </w:t>
                      </w:r>
                      <w:r w:rsidR="007F7518">
                        <w:rPr>
                          <w:sz w:val="24"/>
                          <w:szCs w:val="24"/>
                        </w:rPr>
                        <w:t xml:space="preserve">write down as many words that describes winter as you can! Draw a picture that shows what winter would be like in a magical </w:t>
                      </w:r>
                      <w:r w:rsidR="007F7518">
                        <w:rPr>
                          <w:sz w:val="24"/>
                          <w:szCs w:val="24"/>
                        </w:rPr>
                        <w:t>world!</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">
                <v:textbo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F/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L9bz9Y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TvTvy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BteJx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63BA6D94"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w:t>
      </w:r>
      <w:r w:rsidR="00D114C9">
        <w:rPr>
          <w:rFonts w:cstheme="minorHAnsi"/>
          <w:b/>
          <w:sz w:val="32"/>
          <w:szCs w:val="32"/>
        </w:rPr>
        <w:t>7</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4D1C71"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1</w:t>
            </w:r>
            <w:r w:rsidRPr="004D1C71">
              <w:rPr>
                <w:rFonts w:ascii="Calibri" w:eastAsia="Times New Roman" w:hAnsi="Calibri" w:cs="Calibri"/>
                <w:sz w:val="28"/>
                <w:szCs w:val="28"/>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2</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3</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4</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5</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6</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7</w:t>
            </w:r>
            <w:r w:rsidRPr="004D1C71">
              <w:rPr>
                <w:rFonts w:ascii="Calibri" w:eastAsia="Times New Roman" w:hAnsi="Calibri" w:cs="Calibri"/>
                <w:sz w:val="28"/>
                <w:szCs w:val="28"/>
                <w:lang w:eastAsia="en-GB"/>
              </w:rPr>
              <w:t> </w:t>
            </w:r>
          </w:p>
        </w:tc>
      </w:tr>
      <w:tr w:rsidR="004D1C71" w:rsidRPr="004D1C71"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Autumn 1</w:t>
            </w: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off, </w:t>
            </w:r>
            <w:proofErr w:type="spellStart"/>
            <w:r w:rsidRPr="004D1C71">
              <w:rPr>
                <w:rFonts w:ascii="Calibri" w:eastAsia="Times New Roman" w:hAnsi="Calibri" w:cs="Calibri"/>
                <w:sz w:val="28"/>
                <w:szCs w:val="28"/>
                <w:lang w:eastAsia="en-GB"/>
              </w:rPr>
              <w:t>uff</w:t>
            </w:r>
            <w:proofErr w:type="spellEnd"/>
            <w:r w:rsidRPr="004D1C71">
              <w:rPr>
                <w:rFonts w:ascii="Calibri" w:eastAsia="Times New Roman" w:hAnsi="Calibri" w:cs="Calibri"/>
                <w:sz w:val="28"/>
                <w:szCs w:val="28"/>
                <w:lang w:eastAsia="en-GB"/>
              </w:rPr>
              <w:t xml:space="preserve">, </w:t>
            </w:r>
            <w:proofErr w:type="spellStart"/>
            <w:r w:rsidRPr="004D1C71">
              <w:rPr>
                <w:rFonts w:ascii="Calibri" w:eastAsia="Times New Roman" w:hAnsi="Calibri" w:cs="Calibri"/>
                <w:sz w:val="28"/>
                <w:szCs w:val="28"/>
                <w:lang w:eastAsia="en-GB"/>
              </w:rPr>
              <w:t>ew</w:t>
            </w:r>
            <w:proofErr w:type="spellEnd"/>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homophones </w:t>
            </w:r>
          </w:p>
        </w:tc>
      </w:tr>
      <w:tr w:rsidR="004D1C71" w:rsidRPr="004D1C71"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4D1C71" w:rsidRDefault="004D1C71" w:rsidP="004D1C71">
            <w:pPr>
              <w:spacing w:after="0" w:line="240" w:lineRule="auto"/>
              <w:rPr>
                <w:rFonts w:ascii="Segoe UI" w:eastAsia="Times New Roman" w:hAnsi="Segoe UI" w:cs="Segoe UI"/>
                <w:sz w:val="18"/>
                <w:szCs w:val="18"/>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Aspiration</w:t>
            </w:r>
          </w:p>
          <w:p w14:paraId="216D04E5" w14:textId="4B7791C7"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Resilience</w:t>
            </w:r>
          </w:p>
          <w:p w14:paraId="45206678" w14:textId="2BF7455E"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Curiosity</w:t>
            </w:r>
          </w:p>
          <w:p w14:paraId="75E625BC" w14:textId="1DF890C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Responsibility</w:t>
            </w:r>
          </w:p>
          <w:p w14:paraId="63D6958E" w14:textId="66410CCB"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Kindness</w:t>
            </w:r>
          </w:p>
          <w:p w14:paraId="6894C626" w14:textId="0AF3B8A3"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Chocolate</w:t>
            </w:r>
          </w:p>
          <w:p w14:paraId="42FEF5FE" w14:textId="108ACEB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Factory</w:t>
            </w:r>
          </w:p>
          <w:p w14:paraId="1F5B370B" w14:textId="317055A0"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Competition</w:t>
            </w:r>
          </w:p>
          <w:p w14:paraId="3D91B09E" w14:textId="4E33F3A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Poverty</w:t>
            </w:r>
          </w:p>
          <w:p w14:paraId="20C705B6" w14:textId="7BD0227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lastRenderedPageBreak/>
              <w:t>desperate</w:t>
            </w:r>
          </w:p>
          <w:p w14:paraId="488AD306" w14:textId="67A148BC" w:rsidR="004D1C71" w:rsidRDefault="004D1C71" w:rsidP="004D1C71">
            <w:pPr>
              <w:spacing w:after="0" w:line="240" w:lineRule="auto"/>
              <w:textAlignment w:val="baseline"/>
              <w:rPr>
                <w:rFonts w:ascii="Calibri" w:eastAsia="Times New Roman" w:hAnsi="Calibri" w:cs="Calibri"/>
                <w:sz w:val="28"/>
                <w:szCs w:val="28"/>
                <w:lang w:eastAsia="en-GB"/>
              </w:rPr>
            </w:pPr>
          </w:p>
          <w:p w14:paraId="271100E9" w14:textId="6E9D3E54" w:rsidR="004D1C71" w:rsidRPr="004D1C71" w:rsidRDefault="004D1C71" w:rsidP="004D1C71">
            <w:pPr>
              <w:spacing w:after="0" w:line="240" w:lineRule="auto"/>
              <w:textAlignment w:val="baseline"/>
              <w:rPr>
                <w:rFonts w:ascii="Segoe UI" w:eastAsia="Times New Roman" w:hAnsi="Segoe UI" w:cs="Segoe UI"/>
                <w:sz w:val="18"/>
                <w:szCs w:val="18"/>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cough </w:t>
            </w:r>
          </w:p>
          <w:p w14:paraId="49163B4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coughing </w:t>
            </w:r>
          </w:p>
          <w:p w14:paraId="74EE21C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trough </w:t>
            </w:r>
          </w:p>
          <w:p w14:paraId="6E92FE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enough </w:t>
            </w:r>
          </w:p>
          <w:p w14:paraId="184A9AF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tough </w:t>
            </w:r>
          </w:p>
          <w:p w14:paraId="01270F7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 </w:t>
            </w:r>
          </w:p>
          <w:p w14:paraId="5288B1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roughen </w:t>
            </w:r>
          </w:p>
          <w:p w14:paraId="6106C0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through </w:t>
            </w:r>
          </w:p>
          <w:p w14:paraId="5B211D0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thorough </w:t>
            </w:r>
          </w:p>
          <w:p w14:paraId="206341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drought </w:t>
            </w:r>
          </w:p>
          <w:p w14:paraId="0CFE508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plough </w:t>
            </w:r>
          </w:p>
          <w:p w14:paraId="13630B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bough </w:t>
            </w:r>
          </w:p>
          <w:p w14:paraId="59A9EA4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although </w:t>
            </w:r>
          </w:p>
          <w:p w14:paraId="668E43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dough </w:t>
            </w:r>
          </w:p>
          <w:p w14:paraId="7AC5E93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though </w:t>
            </w:r>
          </w:p>
          <w:p w14:paraId="15906F0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bought </w:t>
            </w:r>
          </w:p>
          <w:p w14:paraId="6100DC4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fought </w:t>
            </w:r>
          </w:p>
          <w:p w14:paraId="790F5D1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brought </w:t>
            </w:r>
          </w:p>
          <w:p w14:paraId="5D74331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lastRenderedPageBreak/>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doubt </w:t>
            </w:r>
          </w:p>
          <w:p w14:paraId="3FC169C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island </w:t>
            </w:r>
          </w:p>
          <w:p w14:paraId="7A03A53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lamb </w:t>
            </w:r>
          </w:p>
          <w:p w14:paraId="78E662C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solemn </w:t>
            </w:r>
          </w:p>
          <w:p w14:paraId="396976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thistle </w:t>
            </w:r>
          </w:p>
          <w:p w14:paraId="1DF94A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knight </w:t>
            </w:r>
          </w:p>
          <w:p w14:paraId="7FAC9B1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numb </w:t>
            </w:r>
          </w:p>
          <w:p w14:paraId="1BC6CC3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autumn </w:t>
            </w:r>
          </w:p>
          <w:p w14:paraId="34948A5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whistle </w:t>
            </w:r>
          </w:p>
          <w:p w14:paraId="418BB57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lastRenderedPageBreak/>
              <w:t>horrible </w:t>
            </w:r>
          </w:p>
          <w:p w14:paraId="575CA40B"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terrible </w:t>
            </w:r>
          </w:p>
          <w:p w14:paraId="180E1E7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possible </w:t>
            </w:r>
          </w:p>
          <w:p w14:paraId="70B3F80C"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adorable </w:t>
            </w:r>
          </w:p>
          <w:p w14:paraId="433FDA5F"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forgivable </w:t>
            </w:r>
          </w:p>
          <w:p w14:paraId="03A94BA7"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enjoyable </w:t>
            </w:r>
          </w:p>
          <w:p w14:paraId="10C7F0AE"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available </w:t>
            </w:r>
          </w:p>
          <w:p w14:paraId="616900B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vegetable </w:t>
            </w:r>
          </w:p>
          <w:p w14:paraId="144DBE4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edible </w:t>
            </w:r>
          </w:p>
          <w:p w14:paraId="05899A6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reversible </w:t>
            </w:r>
          </w:p>
          <w:p w14:paraId="08773FD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invincible </w:t>
            </w:r>
          </w:p>
          <w:p w14:paraId="61D89B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legible </w:t>
            </w:r>
          </w:p>
          <w:p w14:paraId="4DCEB42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valuable </w:t>
            </w:r>
          </w:p>
          <w:p w14:paraId="0DE13D8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breakable </w:t>
            </w:r>
          </w:p>
          <w:p w14:paraId="1502B20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agreeable </w:t>
            </w:r>
          </w:p>
          <w:p w14:paraId="237450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disposable </w:t>
            </w:r>
          </w:p>
          <w:p w14:paraId="403A1F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identifiable </w:t>
            </w:r>
          </w:p>
          <w:p w14:paraId="10E49B4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incredible </w:t>
            </w:r>
          </w:p>
          <w:p w14:paraId="2D26C02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isle </w:t>
            </w:r>
          </w:p>
          <w:p w14:paraId="016022B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aisle </w:t>
            </w:r>
          </w:p>
          <w:p w14:paraId="6020FDC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aloud </w:t>
            </w:r>
          </w:p>
          <w:p w14:paraId="6CB3BA3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allowed </w:t>
            </w:r>
          </w:p>
          <w:p w14:paraId="45FAD06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affect </w:t>
            </w:r>
          </w:p>
          <w:p w14:paraId="4218E65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effect </w:t>
            </w:r>
          </w:p>
          <w:p w14:paraId="50496D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herd </w:t>
            </w:r>
          </w:p>
          <w:p w14:paraId="2C0ADA2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heard </w:t>
            </w:r>
          </w:p>
          <w:p w14:paraId="376058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past </w:t>
            </w:r>
          </w:p>
          <w:p w14:paraId="0630C9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234F88"/>
    <w:rsid w:val="0027083C"/>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0B1"/>
    <w:rsid w:val="00643BEE"/>
    <w:rsid w:val="00654214"/>
    <w:rsid w:val="006913C8"/>
    <w:rsid w:val="006B232C"/>
    <w:rsid w:val="00775110"/>
    <w:rsid w:val="00786374"/>
    <w:rsid w:val="007A6870"/>
    <w:rsid w:val="007B6440"/>
    <w:rsid w:val="007D7912"/>
    <w:rsid w:val="007F7518"/>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AA0321"/>
    <w:rsid w:val="00B46999"/>
    <w:rsid w:val="00B721C4"/>
    <w:rsid w:val="00BC75D1"/>
    <w:rsid w:val="00BF6D7A"/>
    <w:rsid w:val="00C94C8E"/>
    <w:rsid w:val="00CB4EC9"/>
    <w:rsid w:val="00CC10A1"/>
    <w:rsid w:val="00CC1D4A"/>
    <w:rsid w:val="00CE054F"/>
    <w:rsid w:val="00CE2552"/>
    <w:rsid w:val="00D01772"/>
    <w:rsid w:val="00D114C9"/>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0.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81241-8CA9-4B71-BADD-64358DBF559C}"/>
</file>

<file path=customXml/itemProps2.xml><?xml version="1.0" encoding="utf-8"?>
<ds:datastoreItem xmlns:ds="http://schemas.openxmlformats.org/officeDocument/2006/customXml" ds:itemID="{ADEBA312-B250-478E-B46D-59A8AB49A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7</cp:revision>
  <cp:lastPrinted>2022-07-14T09:11:00Z</cp:lastPrinted>
  <dcterms:created xsi:type="dcterms:W3CDTF">2022-08-30T12:46:00Z</dcterms:created>
  <dcterms:modified xsi:type="dcterms:W3CDTF">2022-08-30T13:12:00Z</dcterms:modified>
</cp:coreProperties>
</file>